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600" w:lineRule="exact"/>
        <w:ind w:firstLine="0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月份全市经济运行情况</w:t>
      </w:r>
    </w:p>
    <w:p>
      <w:pPr>
        <w:widowControl/>
        <w:spacing w:before="30" w:after="30"/>
        <w:ind w:left="150" w:right="30"/>
        <w:jc w:val="left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cs="仿宋_GB2312"/>
          <w:color w:val="FF0000"/>
          <w:kern w:val="0"/>
          <w:szCs w:val="32"/>
        </w:rPr>
        <w:t xml:space="preserve">   </w:t>
      </w:r>
    </w:p>
    <w:p>
      <w:pPr>
        <w:widowControl/>
        <w:spacing w:before="30" w:after="30" w:line="640" w:lineRule="exact"/>
        <w:ind w:left="224" w:leftChars="71" w:right="30" w:firstLine="632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</w:pPr>
      <w:r>
        <w:rPr>
          <w:rFonts w:hint="eastAsia"/>
          <w:sz w:val="32"/>
          <w:szCs w:val="32"/>
          <w:highlight w:val="none"/>
          <w:lang w:val="en-US" w:eastAsia="zh-CN"/>
        </w:rPr>
        <w:t>5</w:t>
      </w:r>
      <w:r>
        <w:rPr>
          <w:rFonts w:hint="eastAsia" w:eastAsia="仿宋_GB2312"/>
          <w:sz w:val="32"/>
          <w:szCs w:val="32"/>
          <w:highlight w:val="none"/>
        </w:rPr>
        <w:t>月份，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固定资产投资</w:t>
      </w:r>
      <w:r>
        <w:rPr>
          <w:rFonts w:hint="eastAsia" w:ascii="仿宋_GB2312" w:hAnsi="仿宋_GB2312" w:cs="仿宋_GB2312"/>
          <w:kern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限上消费品零售额</w:t>
      </w:r>
      <w:r>
        <w:rPr>
          <w:rFonts w:hint="eastAsia" w:ascii="仿宋_GB2312" w:hAnsi="仿宋_GB2312" w:cs="仿宋_GB2312"/>
          <w:kern w:val="0"/>
          <w:sz w:val="32"/>
          <w:szCs w:val="32"/>
          <w:highlight w:val="none"/>
          <w:lang w:eastAsia="zh-CN"/>
        </w:rPr>
        <w:t>、一般公共预算收入、金融机构存款余额指标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增速较上月</w:t>
      </w:r>
      <w:r>
        <w:rPr>
          <w:rFonts w:hint="eastAsia" w:ascii="仿宋_GB2312" w:hAnsi="仿宋_GB2312" w:cs="仿宋_GB2312"/>
          <w:kern w:val="0"/>
          <w:sz w:val="32"/>
          <w:szCs w:val="32"/>
          <w:highlight w:val="none"/>
          <w:lang w:eastAsia="zh-CN"/>
        </w:rPr>
        <w:t>有不同程度的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回落</w:t>
      </w:r>
      <w:r>
        <w:rPr>
          <w:rFonts w:hint="eastAsia" w:ascii="仿宋_GB2312" w:hAnsi="仿宋_GB2312" w:cs="仿宋_GB2312"/>
          <w:kern w:val="0"/>
          <w:sz w:val="32"/>
          <w:szCs w:val="32"/>
          <w:highlight w:val="none"/>
          <w:lang w:eastAsia="zh-CN"/>
        </w:rPr>
        <w:t>，规上工业增加值、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金融机构</w:t>
      </w:r>
      <w:r>
        <w:rPr>
          <w:rFonts w:hint="eastAsia" w:ascii="仿宋_GB2312" w:hAnsi="仿宋_GB2312" w:cs="仿宋_GB2312"/>
          <w:kern w:val="0"/>
          <w:sz w:val="32"/>
          <w:szCs w:val="32"/>
          <w:highlight w:val="none"/>
          <w:lang w:eastAsia="zh-CN"/>
        </w:rPr>
        <w:t>贷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款余额</w:t>
      </w:r>
      <w:r>
        <w:rPr>
          <w:rFonts w:hint="eastAsia" w:ascii="仿宋_GB2312" w:hAnsi="仿宋_GB2312" w:cs="仿宋_GB2312"/>
          <w:kern w:val="0"/>
          <w:sz w:val="32"/>
          <w:szCs w:val="32"/>
          <w:highlight w:val="none"/>
          <w:lang w:eastAsia="zh-CN"/>
        </w:rPr>
        <w:t>指标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增速提升。</w:t>
      </w:r>
      <w:bookmarkStart w:id="0" w:name="_GoBack"/>
      <w:bookmarkEnd w:id="0"/>
    </w:p>
    <w:p>
      <w:pPr>
        <w:pStyle w:val="2"/>
        <w:spacing w:line="600" w:lineRule="exact"/>
        <w:ind w:firstLine="632" w:firstLineChars="200"/>
        <w:jc w:val="left"/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楷体" w:hAnsi="楷体" w:eastAsia="楷体"/>
          <w:b/>
          <w:color w:val="000000"/>
          <w:szCs w:val="32"/>
        </w:rPr>
        <w:t xml:space="preserve"> 1.工业生产。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5月份，全市规模以上工业实现增加值同比增长6.7%。分三大门类看，采矿业增加值增长9.8%；制造业增长4.5%；电力、热力、燃气及水生产和供应业增长2.4%。分行业看，全市36个大类行业中有18个增加值同比保持增长。煤电行业增加值增长7.8%，非煤电行业增加值增长4.3%，其中，通用设备制造业增长31.5%，化学原料和化学制品制造业增长41.5%，计算机、通信和其他电子设备制造业69.9%。分产品看，原煤下降5.9%；洗煤增长4.9%；发电量下降0.4%；水泥下降5.3%；乳制品下降0.2%，滚动轴承增长67.5%，汽车下降26.6%。</w:t>
      </w:r>
    </w:p>
    <w:p>
      <w:pPr>
        <w:pStyle w:val="2"/>
        <w:spacing w:line="600" w:lineRule="exact"/>
        <w:ind w:firstLine="632" w:firstLineChars="200"/>
        <w:jc w:val="left"/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1-5月份，全市规模以上工业增加值同比增长11.1%，其中，煤电行业增加值同比增长10.2%，非煤电行业增加值同比增长13.2%。</w:t>
      </w:r>
    </w:p>
    <w:p>
      <w:pPr>
        <w:pStyle w:val="2"/>
        <w:spacing w:line="600" w:lineRule="exact"/>
        <w:ind w:firstLine="632" w:firstLineChars="200"/>
        <w:jc w:val="left"/>
        <w:rPr>
          <w:rFonts w:ascii="Times New Roman" w:hAnsi="Times New Roman"/>
          <w:color w:val="000000"/>
          <w:szCs w:val="32"/>
        </w:rPr>
      </w:pPr>
      <w:r>
        <w:rPr>
          <w:rFonts w:hint="eastAsia" w:ascii="Times New Roman" w:hAnsi="Times New Roman"/>
          <w:color w:val="000000"/>
          <w:szCs w:val="32"/>
        </w:rPr>
        <w:t>1</w:t>
      </w:r>
      <w:r>
        <w:rPr>
          <w:rFonts w:hint="eastAsia"/>
          <w:szCs w:val="32"/>
        </w:rPr>
        <w:t>-</w:t>
      </w:r>
      <w:r>
        <w:rPr>
          <w:rFonts w:hint="eastAsia"/>
          <w:szCs w:val="32"/>
          <w:lang w:val="en-US" w:eastAsia="zh-CN"/>
        </w:rPr>
        <w:t>5</w:t>
      </w:r>
      <w:r>
        <w:rPr>
          <w:rFonts w:hint="eastAsia" w:ascii="Times New Roman" w:hAnsi="Times New Roman"/>
          <w:color w:val="000000"/>
          <w:szCs w:val="32"/>
        </w:rPr>
        <w:t>月份，全市工业用电量</w:t>
      </w:r>
      <w:r>
        <w:rPr>
          <w:rFonts w:hint="eastAsia" w:ascii="Times New Roman" w:hAnsi="Times New Roman"/>
          <w:color w:val="000000"/>
          <w:szCs w:val="32"/>
          <w:lang w:val="en-US" w:eastAsia="zh-CN"/>
        </w:rPr>
        <w:t>22.1</w:t>
      </w:r>
      <w:r>
        <w:rPr>
          <w:rFonts w:hint="eastAsia" w:ascii="Times New Roman" w:hAnsi="Times New Roman"/>
          <w:color w:val="000000"/>
          <w:szCs w:val="32"/>
        </w:rPr>
        <w:t>亿千瓦时，同比</w:t>
      </w:r>
      <w:r>
        <w:rPr>
          <w:rFonts w:hint="eastAsia" w:ascii="Times New Roman" w:hAnsi="Times New Roman"/>
          <w:color w:val="000000"/>
          <w:szCs w:val="32"/>
          <w:lang w:eastAsia="zh-CN"/>
        </w:rPr>
        <w:t>增长</w:t>
      </w:r>
      <w:r>
        <w:rPr>
          <w:rFonts w:hint="eastAsia" w:ascii="Times New Roman" w:hAnsi="Times New Roman"/>
          <w:color w:val="000000"/>
          <w:szCs w:val="32"/>
          <w:lang w:val="en-US" w:eastAsia="zh-CN"/>
        </w:rPr>
        <w:t>9.9</w:t>
      </w:r>
      <w:r>
        <w:rPr>
          <w:rFonts w:hint="eastAsia" w:ascii="Times New Roman" w:hAnsi="Times New Roman"/>
          <w:color w:val="000000"/>
          <w:szCs w:val="32"/>
        </w:rPr>
        <w:t>%。</w:t>
      </w:r>
    </w:p>
    <w:p>
      <w:pPr>
        <w:pStyle w:val="2"/>
        <w:spacing w:line="600" w:lineRule="exact"/>
        <w:ind w:firstLine="632" w:firstLineChars="200"/>
        <w:jc w:val="left"/>
        <w:rPr>
          <w:rFonts w:ascii="Times New Roman" w:hAnsi="Times New Roman"/>
          <w:color w:val="000000"/>
          <w:szCs w:val="32"/>
        </w:rPr>
      </w:pPr>
      <w:r>
        <w:rPr>
          <w:rFonts w:hint="eastAsia" w:ascii="楷体" w:hAnsi="楷体" w:eastAsia="楷体"/>
          <w:b/>
          <w:color w:val="000000"/>
          <w:szCs w:val="32"/>
        </w:rPr>
        <w:t>2.固定资产投资。</w:t>
      </w:r>
      <w:r>
        <w:rPr>
          <w:rFonts w:hint="eastAsia" w:ascii="Times New Roman" w:hAnsi="Times New Roman"/>
          <w:color w:val="000000"/>
          <w:szCs w:val="32"/>
        </w:rPr>
        <w:t>1</w:t>
      </w:r>
      <w:r>
        <w:rPr>
          <w:rFonts w:hint="eastAsia"/>
          <w:szCs w:val="32"/>
        </w:rPr>
        <w:t>-</w:t>
      </w:r>
      <w:r>
        <w:rPr>
          <w:rFonts w:hint="eastAsia"/>
          <w:szCs w:val="32"/>
          <w:lang w:val="en-US" w:eastAsia="zh-CN"/>
        </w:rPr>
        <w:t>5</w:t>
      </w:r>
      <w:r>
        <w:rPr>
          <w:rFonts w:hint="eastAsia" w:ascii="Times New Roman" w:hAnsi="Times New Roman"/>
          <w:color w:val="000000"/>
          <w:szCs w:val="32"/>
        </w:rPr>
        <w:t>月份，全市固定资产投资同比</w:t>
      </w:r>
      <w:r>
        <w:rPr>
          <w:rFonts w:hint="eastAsia" w:ascii="Times New Roman" w:hAnsi="Times New Roman"/>
          <w:color w:val="000000"/>
          <w:szCs w:val="32"/>
          <w:lang w:eastAsia="zh-CN"/>
        </w:rPr>
        <w:t>增长</w:t>
      </w:r>
      <w:r>
        <w:rPr>
          <w:rFonts w:hint="eastAsia" w:ascii="Times New Roman" w:hAnsi="Times New Roman"/>
          <w:color w:val="000000"/>
          <w:szCs w:val="32"/>
          <w:lang w:val="en-US" w:eastAsia="zh-CN"/>
        </w:rPr>
        <w:t>4.1</w:t>
      </w:r>
      <w:r>
        <w:rPr>
          <w:rFonts w:hint="eastAsia" w:ascii="Times New Roman" w:hAnsi="Times New Roman"/>
          <w:color w:val="000000"/>
          <w:szCs w:val="32"/>
        </w:rPr>
        <w:t>%。其中：500万元以上项目投资同比</w:t>
      </w:r>
      <w:r>
        <w:rPr>
          <w:rFonts w:hint="eastAsia" w:ascii="Times New Roman" w:hAnsi="Times New Roman"/>
          <w:color w:val="000000"/>
          <w:szCs w:val="32"/>
          <w:lang w:eastAsia="zh-CN"/>
        </w:rPr>
        <w:t>增长</w:t>
      </w:r>
      <w:r>
        <w:rPr>
          <w:rFonts w:hint="eastAsia" w:ascii="Times New Roman" w:hAnsi="Times New Roman"/>
          <w:color w:val="000000"/>
          <w:szCs w:val="32"/>
          <w:lang w:val="en-US" w:eastAsia="zh-CN"/>
        </w:rPr>
        <w:t>17.1</w:t>
      </w:r>
      <w:r>
        <w:rPr>
          <w:rFonts w:hint="eastAsia" w:ascii="Times New Roman" w:hAnsi="Times New Roman"/>
          <w:color w:val="000000"/>
          <w:szCs w:val="32"/>
        </w:rPr>
        <w:t>%。分产业看，500万元以上项目中，第一产业投资同比</w:t>
      </w:r>
      <w:r>
        <w:rPr>
          <w:rFonts w:hint="eastAsia" w:ascii="Times New Roman" w:hAnsi="Times New Roman"/>
          <w:color w:val="000000"/>
          <w:szCs w:val="32"/>
          <w:lang w:eastAsia="zh-CN"/>
        </w:rPr>
        <w:t>下降</w:t>
      </w:r>
      <w:r>
        <w:rPr>
          <w:rFonts w:hint="eastAsia" w:ascii="Times New Roman" w:hAnsi="Times New Roman"/>
          <w:color w:val="000000"/>
          <w:szCs w:val="32"/>
          <w:lang w:val="en-US" w:eastAsia="zh-CN"/>
        </w:rPr>
        <w:t>14.4</w:t>
      </w:r>
      <w:r>
        <w:rPr>
          <w:rFonts w:hint="eastAsia" w:ascii="Times New Roman" w:hAnsi="Times New Roman"/>
          <w:color w:val="000000"/>
          <w:szCs w:val="32"/>
        </w:rPr>
        <w:t>%；第二产业投资同比</w:t>
      </w:r>
      <w:r>
        <w:rPr>
          <w:rFonts w:hint="eastAsia" w:ascii="Times New Roman" w:hAnsi="Times New Roman"/>
          <w:color w:val="000000"/>
          <w:szCs w:val="32"/>
          <w:lang w:eastAsia="zh-CN"/>
        </w:rPr>
        <w:t>增长</w:t>
      </w:r>
      <w:r>
        <w:rPr>
          <w:rFonts w:hint="eastAsia" w:ascii="Times New Roman" w:hAnsi="Times New Roman"/>
          <w:color w:val="000000"/>
          <w:szCs w:val="32"/>
          <w:lang w:val="en-US" w:eastAsia="zh-CN"/>
        </w:rPr>
        <w:t>5.1</w:t>
      </w:r>
      <w:r>
        <w:rPr>
          <w:rFonts w:hint="eastAsia" w:ascii="Times New Roman" w:hAnsi="Times New Roman"/>
          <w:color w:val="000000"/>
          <w:szCs w:val="32"/>
        </w:rPr>
        <w:t>%；第三产业投资</w:t>
      </w:r>
      <w:r>
        <w:rPr>
          <w:rFonts w:hint="eastAsia" w:ascii="Times New Roman" w:hAnsi="Times New Roman"/>
          <w:color w:val="000000"/>
          <w:szCs w:val="32"/>
          <w:lang w:eastAsia="zh-CN"/>
        </w:rPr>
        <w:t>增长</w:t>
      </w:r>
      <w:r>
        <w:rPr>
          <w:rFonts w:hint="eastAsia" w:ascii="Times New Roman" w:hAnsi="Times New Roman"/>
          <w:color w:val="000000"/>
          <w:szCs w:val="32"/>
          <w:lang w:val="en-US" w:eastAsia="zh-CN"/>
        </w:rPr>
        <w:t>29.5</w:t>
      </w:r>
      <w:r>
        <w:rPr>
          <w:rFonts w:hint="eastAsia" w:ascii="Times New Roman" w:hAnsi="Times New Roman"/>
          <w:color w:val="000000"/>
          <w:szCs w:val="32"/>
        </w:rPr>
        <w:t>%。分项目看，1</w:t>
      </w:r>
      <w:r>
        <w:rPr>
          <w:rFonts w:hint="eastAsia"/>
          <w:szCs w:val="32"/>
        </w:rPr>
        <w:t>-</w:t>
      </w:r>
      <w:r>
        <w:rPr>
          <w:rFonts w:hint="eastAsia"/>
          <w:szCs w:val="32"/>
          <w:lang w:val="en-US" w:eastAsia="zh-CN"/>
        </w:rPr>
        <w:t>5</w:t>
      </w:r>
      <w:r>
        <w:rPr>
          <w:rFonts w:hint="eastAsia" w:ascii="Times New Roman" w:hAnsi="Times New Roman"/>
          <w:color w:val="000000"/>
          <w:szCs w:val="32"/>
        </w:rPr>
        <w:t>月份，全市500万元以上投资项目个数同比</w:t>
      </w:r>
      <w:r>
        <w:rPr>
          <w:rFonts w:hint="eastAsia" w:ascii="Times New Roman" w:hAnsi="Times New Roman"/>
          <w:color w:val="000000"/>
          <w:szCs w:val="32"/>
          <w:lang w:eastAsia="zh-CN"/>
        </w:rPr>
        <w:t>增长</w:t>
      </w:r>
      <w:r>
        <w:rPr>
          <w:rFonts w:hint="eastAsia" w:ascii="Times New Roman" w:hAnsi="Times New Roman"/>
          <w:color w:val="000000"/>
          <w:szCs w:val="32"/>
          <w:lang w:val="en-US" w:eastAsia="zh-CN"/>
        </w:rPr>
        <w:t>20.1</w:t>
      </w:r>
      <w:r>
        <w:rPr>
          <w:rFonts w:hint="eastAsia" w:ascii="Times New Roman" w:hAnsi="Times New Roman"/>
          <w:color w:val="000000"/>
          <w:szCs w:val="32"/>
        </w:rPr>
        <w:t>%，其中，续建项目个数同比</w:t>
      </w:r>
      <w:r>
        <w:rPr>
          <w:rFonts w:hint="eastAsia" w:ascii="Times New Roman" w:hAnsi="Times New Roman"/>
          <w:color w:val="000000"/>
          <w:szCs w:val="32"/>
          <w:lang w:eastAsia="zh-CN"/>
        </w:rPr>
        <w:t>增长</w:t>
      </w:r>
      <w:r>
        <w:rPr>
          <w:rFonts w:hint="eastAsia" w:ascii="Times New Roman" w:hAnsi="Times New Roman"/>
          <w:color w:val="000000"/>
          <w:szCs w:val="32"/>
          <w:lang w:val="en-US" w:eastAsia="zh-CN"/>
        </w:rPr>
        <w:t>33.4</w:t>
      </w:r>
      <w:r>
        <w:rPr>
          <w:rFonts w:hint="eastAsia" w:ascii="Times New Roman" w:hAnsi="Times New Roman"/>
          <w:color w:val="000000"/>
          <w:szCs w:val="32"/>
        </w:rPr>
        <w:t>%，民间投资项目个数同比</w:t>
      </w:r>
      <w:r>
        <w:rPr>
          <w:rFonts w:hint="eastAsia" w:ascii="Times New Roman" w:hAnsi="Times New Roman"/>
          <w:color w:val="000000"/>
          <w:szCs w:val="32"/>
          <w:lang w:eastAsia="zh-CN"/>
        </w:rPr>
        <w:t>增长</w:t>
      </w:r>
      <w:r>
        <w:rPr>
          <w:rFonts w:hint="eastAsia" w:ascii="Times New Roman" w:hAnsi="Times New Roman"/>
          <w:color w:val="000000"/>
          <w:szCs w:val="32"/>
          <w:lang w:val="en-US" w:eastAsia="zh-CN"/>
        </w:rPr>
        <w:t>26.1</w:t>
      </w:r>
      <w:r>
        <w:rPr>
          <w:rFonts w:hint="eastAsia" w:ascii="Times New Roman" w:hAnsi="Times New Roman"/>
          <w:color w:val="000000"/>
          <w:szCs w:val="32"/>
        </w:rPr>
        <w:t>%。</w:t>
      </w:r>
    </w:p>
    <w:p>
      <w:pPr>
        <w:pStyle w:val="2"/>
        <w:spacing w:line="600" w:lineRule="exact"/>
        <w:ind w:firstLine="632" w:firstLineChars="200"/>
        <w:jc w:val="left"/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楷体" w:hAnsi="楷体" w:eastAsia="楷体"/>
          <w:b/>
          <w:color w:val="000000"/>
          <w:szCs w:val="32"/>
          <w:lang w:val="en-US" w:eastAsia="zh-CN"/>
        </w:rPr>
        <w:t>3.</w:t>
      </w:r>
      <w:r>
        <w:rPr>
          <w:rFonts w:hint="eastAsia" w:ascii="楷体" w:hAnsi="楷体" w:eastAsia="楷体"/>
          <w:b/>
          <w:color w:val="000000"/>
          <w:szCs w:val="32"/>
        </w:rPr>
        <w:t>消费市场。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5月份，全市实现限额以上消费品零售额11.8亿元，同比下降23.4%。分消费形态看，餐饮收入1.0亿元，同比增长21.9%；商品零售额10.8亿元，同比下降26.0%。分商品看，石油及制品类下降59.9%；汽车类增长9.5%；粮油、食品类增长10.7%。</w:t>
      </w:r>
    </w:p>
    <w:p>
      <w:pPr>
        <w:pStyle w:val="2"/>
        <w:spacing w:line="600" w:lineRule="exact"/>
        <w:ind w:firstLine="632" w:firstLineChars="200"/>
        <w:jc w:val="left"/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1-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5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月份，全市实现限额以上消费品零售额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58.6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亿元，同比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下降1.3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%。</w:t>
      </w:r>
    </w:p>
    <w:p>
      <w:pPr>
        <w:pStyle w:val="2"/>
        <w:spacing w:line="600" w:lineRule="exact"/>
        <w:ind w:firstLine="632" w:firstLineChars="200"/>
        <w:jc w:val="left"/>
        <w:rPr>
          <w:rFonts w:ascii="楷体" w:hAnsi="楷体" w:eastAsia="楷体"/>
          <w:b/>
          <w:color w:val="FF0000"/>
          <w:szCs w:val="32"/>
        </w:rPr>
      </w:pPr>
      <w:r>
        <w:rPr>
          <w:rFonts w:hint="eastAsia" w:ascii="楷体" w:hAnsi="楷体" w:eastAsia="楷体"/>
          <w:b/>
          <w:color w:val="000000"/>
          <w:szCs w:val="32"/>
        </w:rPr>
        <w:t>4.进出口总额。</w:t>
      </w:r>
      <w:r>
        <w:rPr>
          <w:rFonts w:hint="eastAsia" w:ascii="Times New Roman" w:hAnsi="Times New Roman"/>
          <w:color w:val="auto"/>
          <w:szCs w:val="32"/>
        </w:rPr>
        <w:t>1</w:t>
      </w:r>
      <w:r>
        <w:rPr>
          <w:rFonts w:hint="eastAsia"/>
          <w:color w:val="auto"/>
          <w:szCs w:val="32"/>
        </w:rPr>
        <w:t>-</w:t>
      </w:r>
      <w:r>
        <w:rPr>
          <w:rFonts w:hint="eastAsia"/>
          <w:color w:val="auto"/>
          <w:szCs w:val="32"/>
          <w:lang w:val="en-US" w:eastAsia="zh-CN"/>
        </w:rPr>
        <w:t>5</w:t>
      </w:r>
      <w:r>
        <w:rPr>
          <w:rFonts w:hint="eastAsia" w:ascii="Times New Roman" w:hAnsi="Times New Roman"/>
          <w:color w:val="auto"/>
          <w:szCs w:val="32"/>
        </w:rPr>
        <w:t>月份，全市进出口总额</w:t>
      </w:r>
      <w:r>
        <w:rPr>
          <w:rFonts w:hint="eastAsia" w:ascii="Times New Roman" w:hAnsi="Times New Roman"/>
          <w:color w:val="auto"/>
          <w:szCs w:val="32"/>
          <w:lang w:val="en-US" w:eastAsia="zh-CN"/>
        </w:rPr>
        <w:t>50478</w:t>
      </w:r>
      <w:r>
        <w:rPr>
          <w:rFonts w:hint="eastAsia" w:ascii="Times New Roman" w:hAnsi="Times New Roman"/>
          <w:color w:val="auto"/>
          <w:szCs w:val="32"/>
        </w:rPr>
        <w:t>万美元，同比增长</w:t>
      </w:r>
      <w:r>
        <w:rPr>
          <w:rFonts w:hint="eastAsia" w:ascii="Times New Roman" w:hAnsi="Times New Roman"/>
          <w:color w:val="auto"/>
          <w:szCs w:val="32"/>
          <w:lang w:val="en-US" w:eastAsia="zh-CN"/>
        </w:rPr>
        <w:t>65.1</w:t>
      </w:r>
      <w:r>
        <w:rPr>
          <w:rFonts w:hint="eastAsia" w:ascii="Times New Roman" w:hAnsi="Times New Roman"/>
          <w:color w:val="auto"/>
          <w:szCs w:val="32"/>
        </w:rPr>
        <w:t>%。其中，进口</w:t>
      </w:r>
      <w:r>
        <w:rPr>
          <w:rFonts w:hint="eastAsia" w:ascii="Times New Roman" w:hAnsi="Times New Roman"/>
          <w:color w:val="auto"/>
          <w:szCs w:val="32"/>
          <w:lang w:val="en-US" w:eastAsia="zh-CN"/>
        </w:rPr>
        <w:t>3016</w:t>
      </w:r>
      <w:r>
        <w:rPr>
          <w:rFonts w:hint="eastAsia" w:ascii="Times New Roman" w:hAnsi="Times New Roman"/>
          <w:color w:val="auto"/>
          <w:szCs w:val="32"/>
        </w:rPr>
        <w:t>万美元，同比增长</w:t>
      </w:r>
      <w:r>
        <w:rPr>
          <w:rFonts w:hint="eastAsia" w:ascii="Times New Roman" w:hAnsi="Times New Roman"/>
          <w:color w:val="auto"/>
          <w:szCs w:val="32"/>
          <w:lang w:val="en-US" w:eastAsia="zh-CN"/>
        </w:rPr>
        <w:t>142.6</w:t>
      </w:r>
      <w:r>
        <w:rPr>
          <w:rFonts w:hint="eastAsia" w:ascii="Times New Roman" w:hAnsi="Times New Roman"/>
          <w:color w:val="auto"/>
          <w:szCs w:val="32"/>
        </w:rPr>
        <w:t>%；出口</w:t>
      </w:r>
      <w:r>
        <w:rPr>
          <w:rFonts w:hint="eastAsia" w:ascii="Times New Roman" w:hAnsi="Times New Roman"/>
          <w:color w:val="auto"/>
          <w:szCs w:val="32"/>
          <w:lang w:val="en-US" w:eastAsia="zh-CN"/>
        </w:rPr>
        <w:t>47462</w:t>
      </w:r>
      <w:r>
        <w:rPr>
          <w:rFonts w:hint="eastAsia" w:ascii="Times New Roman" w:hAnsi="Times New Roman"/>
          <w:color w:val="auto"/>
          <w:szCs w:val="32"/>
        </w:rPr>
        <w:t>万美元，同比增长</w:t>
      </w:r>
      <w:r>
        <w:rPr>
          <w:rFonts w:hint="eastAsia" w:ascii="Times New Roman" w:hAnsi="Times New Roman"/>
          <w:color w:val="auto"/>
          <w:szCs w:val="32"/>
          <w:lang w:val="en-US" w:eastAsia="zh-CN"/>
        </w:rPr>
        <w:t>61.8</w:t>
      </w:r>
      <w:r>
        <w:rPr>
          <w:rFonts w:hint="eastAsia" w:ascii="Times New Roman" w:hAnsi="Times New Roman"/>
          <w:color w:val="auto"/>
          <w:szCs w:val="32"/>
        </w:rPr>
        <w:t>%。</w:t>
      </w:r>
    </w:p>
    <w:p>
      <w:pPr>
        <w:pStyle w:val="2"/>
        <w:spacing w:line="600" w:lineRule="exact"/>
        <w:ind w:firstLine="632" w:firstLineChars="200"/>
        <w:jc w:val="left"/>
        <w:rPr>
          <w:rFonts w:hint="eastAsia"/>
          <w:color w:val="auto"/>
          <w:szCs w:val="32"/>
        </w:rPr>
      </w:pPr>
      <w:r>
        <w:rPr>
          <w:rFonts w:hint="eastAsia"/>
          <w:color w:val="auto"/>
          <w:szCs w:val="32"/>
        </w:rPr>
        <w:t>1-</w:t>
      </w:r>
      <w:r>
        <w:rPr>
          <w:rFonts w:hint="eastAsia"/>
          <w:color w:val="auto"/>
          <w:szCs w:val="32"/>
          <w:lang w:val="en-US" w:eastAsia="zh-CN"/>
        </w:rPr>
        <w:t>5</w:t>
      </w:r>
      <w:r>
        <w:rPr>
          <w:rFonts w:hint="eastAsia"/>
          <w:color w:val="auto"/>
          <w:szCs w:val="32"/>
        </w:rPr>
        <w:t>月份，全市实际利用外商直接投资</w:t>
      </w:r>
      <w:r>
        <w:rPr>
          <w:rFonts w:hint="eastAsia"/>
          <w:color w:val="auto"/>
          <w:szCs w:val="32"/>
          <w:lang w:val="en-US" w:eastAsia="zh-CN"/>
        </w:rPr>
        <w:t>15156</w:t>
      </w:r>
      <w:r>
        <w:rPr>
          <w:rFonts w:hint="eastAsia"/>
          <w:color w:val="auto"/>
          <w:szCs w:val="32"/>
        </w:rPr>
        <w:t>万美元，同比增长</w:t>
      </w:r>
      <w:r>
        <w:rPr>
          <w:rFonts w:hint="eastAsia"/>
          <w:color w:val="auto"/>
          <w:szCs w:val="32"/>
          <w:lang w:val="en-US" w:eastAsia="zh-CN"/>
        </w:rPr>
        <w:t>11.8</w:t>
      </w:r>
      <w:r>
        <w:rPr>
          <w:rFonts w:hint="eastAsia"/>
          <w:color w:val="auto"/>
          <w:szCs w:val="32"/>
        </w:rPr>
        <w:t>%。</w:t>
      </w:r>
    </w:p>
    <w:p>
      <w:pPr>
        <w:pStyle w:val="2"/>
        <w:spacing w:line="600" w:lineRule="exact"/>
        <w:ind w:firstLine="632" w:firstLineChars="200"/>
        <w:jc w:val="left"/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楷体" w:hAnsi="楷体" w:eastAsia="楷体"/>
          <w:b/>
          <w:color w:val="000000"/>
          <w:szCs w:val="32"/>
        </w:rPr>
        <w:t>5.财政收入。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5月份，全市一般公共预算收入9.1亿元，同比增长12.4%；财政支出23.8亿元，同比增长27.2%。</w:t>
      </w:r>
    </w:p>
    <w:p>
      <w:pPr>
        <w:pStyle w:val="2"/>
        <w:spacing w:line="600" w:lineRule="exact"/>
        <w:ind w:firstLine="632" w:firstLineChars="200"/>
        <w:jc w:val="left"/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1-5月份，全市一般公共预算收入51.5亿元，同比增长17.1%。一般公共预算收入中，企业所得税增长23.1%，个人所得税增长29.4%，增值税增长23.4%。财政支出完成102.1亿元，同比增长10.9%。</w:t>
      </w:r>
    </w:p>
    <w:p>
      <w:pPr>
        <w:pStyle w:val="2"/>
        <w:spacing w:line="600" w:lineRule="exact"/>
        <w:ind w:firstLine="632" w:firstLineChars="200"/>
        <w:jc w:val="left"/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楷体" w:hAnsi="楷体" w:eastAsia="楷体"/>
          <w:b/>
          <w:color w:val="000000"/>
          <w:szCs w:val="32"/>
        </w:rPr>
        <w:t>6.金融存贷款。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5月末，全市金融机构人民币存款余额2536.2亿元，同比增长10.4%，余额比上月增加6.5亿元，比年初增加173.9亿元。全市金融机构人民币贷款余额1823.3亿元，同比增长9.3%，余额比上月增加19.8亿元，比年初增加108.6亿元。</w:t>
      </w:r>
    </w:p>
    <w:p>
      <w:pPr>
        <w:widowControl/>
        <w:spacing w:before="30" w:after="30" w:line="640" w:lineRule="exact"/>
        <w:ind w:left="224" w:leftChars="71" w:right="30" w:firstLine="632" w:firstLineChars="200"/>
        <w:jc w:val="left"/>
        <w:rPr>
          <w:rFonts w:hint="eastAsia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/>
          <w:b/>
          <w:color w:val="000000"/>
          <w:szCs w:val="32"/>
        </w:rPr>
        <w:t>7.居民消费价格。</w:t>
      </w:r>
      <w:r>
        <w:rPr>
          <w:rFonts w:hint="eastAsia"/>
          <w:sz w:val="32"/>
          <w:szCs w:val="32"/>
          <w:highlight w:val="none"/>
          <w:lang w:val="en-US" w:eastAsia="zh-CN"/>
        </w:rPr>
        <w:t>5月份，全市居民消费价格同比上涨1.6%，八大类商品和服务价格呈现“七升一降”态势，其中医疗保健、居住、衣着、</w:t>
      </w:r>
      <w:r>
        <w:rPr>
          <w:rFonts w:hint="eastAsia"/>
          <w:sz w:val="32"/>
          <w:szCs w:val="32"/>
          <w:highlight w:val="none"/>
          <w:lang w:val="zh-CN" w:eastAsia="zh-CN"/>
        </w:rPr>
        <w:t>教育文化和娱乐、</w:t>
      </w:r>
      <w:r>
        <w:rPr>
          <w:rFonts w:hint="eastAsia"/>
          <w:sz w:val="32"/>
          <w:szCs w:val="32"/>
          <w:highlight w:val="none"/>
          <w:lang w:val="en-US" w:eastAsia="zh-CN"/>
        </w:rPr>
        <w:t>生活用品及服务、食品烟酒、交通和通信类分别上涨0.1%、0.4%、1.1%、1.1%、1.6%、2.2%和5.4%；其他用品和服务类下降4.6%。</w:t>
      </w:r>
    </w:p>
    <w:p>
      <w:pPr>
        <w:widowControl/>
        <w:spacing w:before="30" w:after="30" w:line="640" w:lineRule="exact"/>
        <w:ind w:left="224" w:leftChars="71" w:right="30" w:firstLine="632" w:firstLineChars="200"/>
        <w:jc w:val="left"/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1-5月份，全市居民消费价格总水平同比上涨0.3%。</w:t>
      </w:r>
    </w:p>
    <w:p>
      <w:pPr>
        <w:widowControl/>
        <w:spacing w:before="30" w:after="30" w:line="640" w:lineRule="exact"/>
        <w:ind w:left="224" w:leftChars="71" w:right="30" w:firstLine="632" w:firstLineChars="200"/>
        <w:jc w:val="left"/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</w:p>
    <w:sectPr>
      <w:footerReference r:id="rId3" w:type="default"/>
      <w:footerReference r:id="rId4" w:type="even"/>
      <w:pgSz w:w="11906" w:h="16838"/>
      <w:pgMar w:top="1701" w:right="1531" w:bottom="1701" w:left="1531" w:header="992" w:footer="1587" w:gutter="0"/>
      <w:cols w:space="720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创艺简标宋">
    <w:altName w:val="方正舒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8"/>
        <w:sz w:val="24"/>
      </w:rPr>
    </w:pPr>
    <w:r>
      <w:rPr>
        <w:rStyle w:val="8"/>
        <w:rFonts w:hint="eastAsia"/>
        <w:sz w:val="24"/>
      </w:rPr>
      <w:t xml:space="preserve">— </w:t>
    </w:r>
    <w:r>
      <w:rPr>
        <w:sz w:val="24"/>
      </w:rPr>
      <w:fldChar w:fldCharType="begin"/>
    </w:r>
    <w:r>
      <w:rPr>
        <w:rStyle w:val="8"/>
        <w:sz w:val="24"/>
      </w:rPr>
      <w:instrText xml:space="preserve">PAGE  </w:instrText>
    </w:r>
    <w:r>
      <w:rPr>
        <w:sz w:val="24"/>
      </w:rPr>
      <w:fldChar w:fldCharType="separate"/>
    </w:r>
    <w:r>
      <w:rPr>
        <w:rStyle w:val="8"/>
        <w:sz w:val="24"/>
      </w:rPr>
      <w:t>3</w:t>
    </w:r>
    <w:r>
      <w:rPr>
        <w:sz w:val="24"/>
      </w:rPr>
      <w:fldChar w:fldCharType="end"/>
    </w:r>
    <w:r>
      <w:rPr>
        <w:rStyle w:val="8"/>
        <w:rFonts w:hint="eastAsia"/>
        <w:sz w:val="24"/>
      </w:rPr>
      <w:t xml:space="preserve"> —</w:t>
    </w:r>
  </w:p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1</w:t>
    </w:r>
    <w:r>
      <w:fldChar w:fldCharType="end"/>
    </w:r>
  </w:p>
  <w:p>
    <w:pPr>
      <w:pStyle w:val="4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0AC"/>
    <w:rsid w:val="00034DB1"/>
    <w:rsid w:val="000373DD"/>
    <w:rsid w:val="000438AA"/>
    <w:rsid w:val="00063706"/>
    <w:rsid w:val="00063744"/>
    <w:rsid w:val="00070F35"/>
    <w:rsid w:val="0007469D"/>
    <w:rsid w:val="00081B4A"/>
    <w:rsid w:val="000B0567"/>
    <w:rsid w:val="000D7E6A"/>
    <w:rsid w:val="000E43BE"/>
    <w:rsid w:val="000E4DC9"/>
    <w:rsid w:val="000E6BF3"/>
    <w:rsid w:val="0015131C"/>
    <w:rsid w:val="00164B6D"/>
    <w:rsid w:val="00166474"/>
    <w:rsid w:val="0017004A"/>
    <w:rsid w:val="0017334C"/>
    <w:rsid w:val="00177120"/>
    <w:rsid w:val="00191C76"/>
    <w:rsid w:val="001A5CEF"/>
    <w:rsid w:val="001B6158"/>
    <w:rsid w:val="001D6C28"/>
    <w:rsid w:val="00201591"/>
    <w:rsid w:val="00203455"/>
    <w:rsid w:val="002072B0"/>
    <w:rsid w:val="002241A0"/>
    <w:rsid w:val="00224242"/>
    <w:rsid w:val="00233439"/>
    <w:rsid w:val="00235584"/>
    <w:rsid w:val="00251794"/>
    <w:rsid w:val="00270A4B"/>
    <w:rsid w:val="00280ADA"/>
    <w:rsid w:val="00286205"/>
    <w:rsid w:val="00294AC8"/>
    <w:rsid w:val="00297D0B"/>
    <w:rsid w:val="002A6AE2"/>
    <w:rsid w:val="002B53F8"/>
    <w:rsid w:val="002C06CE"/>
    <w:rsid w:val="002C1BEE"/>
    <w:rsid w:val="002C5F9D"/>
    <w:rsid w:val="002D0641"/>
    <w:rsid w:val="002D33A3"/>
    <w:rsid w:val="002D6FC3"/>
    <w:rsid w:val="002E3332"/>
    <w:rsid w:val="002F1D69"/>
    <w:rsid w:val="00322DF0"/>
    <w:rsid w:val="003455A8"/>
    <w:rsid w:val="003537A0"/>
    <w:rsid w:val="00377790"/>
    <w:rsid w:val="003B350D"/>
    <w:rsid w:val="003C079B"/>
    <w:rsid w:val="003C193E"/>
    <w:rsid w:val="003D7559"/>
    <w:rsid w:val="003E06D3"/>
    <w:rsid w:val="00421B13"/>
    <w:rsid w:val="00426B2D"/>
    <w:rsid w:val="00427B3A"/>
    <w:rsid w:val="00446C1E"/>
    <w:rsid w:val="00452551"/>
    <w:rsid w:val="004619B5"/>
    <w:rsid w:val="004666BA"/>
    <w:rsid w:val="0046777A"/>
    <w:rsid w:val="004816DB"/>
    <w:rsid w:val="00483473"/>
    <w:rsid w:val="00486607"/>
    <w:rsid w:val="004C790A"/>
    <w:rsid w:val="004E5955"/>
    <w:rsid w:val="00515E4A"/>
    <w:rsid w:val="005228BA"/>
    <w:rsid w:val="00552912"/>
    <w:rsid w:val="0055373B"/>
    <w:rsid w:val="00562CF5"/>
    <w:rsid w:val="00572A42"/>
    <w:rsid w:val="005772E6"/>
    <w:rsid w:val="00582D2A"/>
    <w:rsid w:val="005A1A76"/>
    <w:rsid w:val="005B773B"/>
    <w:rsid w:val="005D4001"/>
    <w:rsid w:val="005D6AFF"/>
    <w:rsid w:val="005E015A"/>
    <w:rsid w:val="005E06EF"/>
    <w:rsid w:val="005F7149"/>
    <w:rsid w:val="006051B3"/>
    <w:rsid w:val="0065464C"/>
    <w:rsid w:val="00682F66"/>
    <w:rsid w:val="006901FF"/>
    <w:rsid w:val="006A15D7"/>
    <w:rsid w:val="006B72F1"/>
    <w:rsid w:val="006E11F1"/>
    <w:rsid w:val="007363E6"/>
    <w:rsid w:val="00740E4B"/>
    <w:rsid w:val="00741627"/>
    <w:rsid w:val="00756373"/>
    <w:rsid w:val="00757589"/>
    <w:rsid w:val="00777EC2"/>
    <w:rsid w:val="00790753"/>
    <w:rsid w:val="007A7BD1"/>
    <w:rsid w:val="007B2096"/>
    <w:rsid w:val="007B510C"/>
    <w:rsid w:val="007B68F2"/>
    <w:rsid w:val="007E1BE3"/>
    <w:rsid w:val="007E790C"/>
    <w:rsid w:val="007F0843"/>
    <w:rsid w:val="0080306D"/>
    <w:rsid w:val="00816D71"/>
    <w:rsid w:val="008275C8"/>
    <w:rsid w:val="00835008"/>
    <w:rsid w:val="008450F3"/>
    <w:rsid w:val="008457B4"/>
    <w:rsid w:val="00847091"/>
    <w:rsid w:val="00884FBC"/>
    <w:rsid w:val="0089443A"/>
    <w:rsid w:val="008A00DB"/>
    <w:rsid w:val="008A402B"/>
    <w:rsid w:val="008B2AAF"/>
    <w:rsid w:val="008C3293"/>
    <w:rsid w:val="008C485F"/>
    <w:rsid w:val="008C5298"/>
    <w:rsid w:val="008F4CE4"/>
    <w:rsid w:val="008F5911"/>
    <w:rsid w:val="00903997"/>
    <w:rsid w:val="00917934"/>
    <w:rsid w:val="009336B6"/>
    <w:rsid w:val="00942B66"/>
    <w:rsid w:val="00956A04"/>
    <w:rsid w:val="009671E0"/>
    <w:rsid w:val="00995A72"/>
    <w:rsid w:val="00997BCF"/>
    <w:rsid w:val="009A1D3A"/>
    <w:rsid w:val="009A4B44"/>
    <w:rsid w:val="009D246C"/>
    <w:rsid w:val="009E4EF6"/>
    <w:rsid w:val="009E69E7"/>
    <w:rsid w:val="00A02C92"/>
    <w:rsid w:val="00A10DF0"/>
    <w:rsid w:val="00A52D38"/>
    <w:rsid w:val="00A52ECB"/>
    <w:rsid w:val="00A64CBE"/>
    <w:rsid w:val="00A7613C"/>
    <w:rsid w:val="00A80477"/>
    <w:rsid w:val="00AA1496"/>
    <w:rsid w:val="00AC30C3"/>
    <w:rsid w:val="00AC43D7"/>
    <w:rsid w:val="00AE3D68"/>
    <w:rsid w:val="00AE7D6B"/>
    <w:rsid w:val="00AF51D6"/>
    <w:rsid w:val="00B15438"/>
    <w:rsid w:val="00B170AC"/>
    <w:rsid w:val="00B17394"/>
    <w:rsid w:val="00B36EAB"/>
    <w:rsid w:val="00B4585E"/>
    <w:rsid w:val="00B51741"/>
    <w:rsid w:val="00B67C2D"/>
    <w:rsid w:val="00B71E9C"/>
    <w:rsid w:val="00B91CDD"/>
    <w:rsid w:val="00B92CA9"/>
    <w:rsid w:val="00B94C16"/>
    <w:rsid w:val="00BA7191"/>
    <w:rsid w:val="00BD2FB4"/>
    <w:rsid w:val="00BE2238"/>
    <w:rsid w:val="00C04327"/>
    <w:rsid w:val="00C120BC"/>
    <w:rsid w:val="00C226F5"/>
    <w:rsid w:val="00C4697D"/>
    <w:rsid w:val="00C46BE7"/>
    <w:rsid w:val="00C50345"/>
    <w:rsid w:val="00C66CB5"/>
    <w:rsid w:val="00C7339A"/>
    <w:rsid w:val="00C73C71"/>
    <w:rsid w:val="00C87E92"/>
    <w:rsid w:val="00CA1055"/>
    <w:rsid w:val="00CB1632"/>
    <w:rsid w:val="00CC734A"/>
    <w:rsid w:val="00CD41E6"/>
    <w:rsid w:val="00CE62BD"/>
    <w:rsid w:val="00CE75AD"/>
    <w:rsid w:val="00D04FBB"/>
    <w:rsid w:val="00D102AE"/>
    <w:rsid w:val="00D1195B"/>
    <w:rsid w:val="00D31C1B"/>
    <w:rsid w:val="00D43431"/>
    <w:rsid w:val="00D44386"/>
    <w:rsid w:val="00D63E5F"/>
    <w:rsid w:val="00D64E0F"/>
    <w:rsid w:val="00D65D70"/>
    <w:rsid w:val="00D71B29"/>
    <w:rsid w:val="00D7609E"/>
    <w:rsid w:val="00D84B6D"/>
    <w:rsid w:val="00D909DA"/>
    <w:rsid w:val="00DB4382"/>
    <w:rsid w:val="00DB54DB"/>
    <w:rsid w:val="00DC1B9F"/>
    <w:rsid w:val="00DC2FCF"/>
    <w:rsid w:val="00DD2BC6"/>
    <w:rsid w:val="00DE0413"/>
    <w:rsid w:val="00DE6B89"/>
    <w:rsid w:val="00E00AAC"/>
    <w:rsid w:val="00E15A37"/>
    <w:rsid w:val="00E26F15"/>
    <w:rsid w:val="00E35509"/>
    <w:rsid w:val="00E357F0"/>
    <w:rsid w:val="00E46DB4"/>
    <w:rsid w:val="00E72032"/>
    <w:rsid w:val="00E82C59"/>
    <w:rsid w:val="00E84C80"/>
    <w:rsid w:val="00E929B1"/>
    <w:rsid w:val="00EA15BC"/>
    <w:rsid w:val="00EA1E33"/>
    <w:rsid w:val="00EC1A0D"/>
    <w:rsid w:val="00ED782D"/>
    <w:rsid w:val="00EE0B74"/>
    <w:rsid w:val="00EE4859"/>
    <w:rsid w:val="00F1005F"/>
    <w:rsid w:val="00F22E0D"/>
    <w:rsid w:val="00F36E00"/>
    <w:rsid w:val="00F47AE9"/>
    <w:rsid w:val="00F56244"/>
    <w:rsid w:val="00F60B98"/>
    <w:rsid w:val="00F66054"/>
    <w:rsid w:val="00F66257"/>
    <w:rsid w:val="00F66B0A"/>
    <w:rsid w:val="00F70F73"/>
    <w:rsid w:val="00F81A4B"/>
    <w:rsid w:val="00F85AFA"/>
    <w:rsid w:val="00F86056"/>
    <w:rsid w:val="00F92A43"/>
    <w:rsid w:val="00FA0DE4"/>
    <w:rsid w:val="00FA130D"/>
    <w:rsid w:val="00FA49F3"/>
    <w:rsid w:val="00FB0144"/>
    <w:rsid w:val="00FD0DF3"/>
    <w:rsid w:val="00FE2BE5"/>
    <w:rsid w:val="07D13016"/>
    <w:rsid w:val="09C61EDC"/>
    <w:rsid w:val="0A1C6681"/>
    <w:rsid w:val="0B730830"/>
    <w:rsid w:val="0C9C6D4B"/>
    <w:rsid w:val="0CF93FBA"/>
    <w:rsid w:val="0EEF0605"/>
    <w:rsid w:val="10B36CCF"/>
    <w:rsid w:val="11393046"/>
    <w:rsid w:val="15A01D7D"/>
    <w:rsid w:val="17CC5715"/>
    <w:rsid w:val="1BF42C50"/>
    <w:rsid w:val="1C27310B"/>
    <w:rsid w:val="1C7D6FCA"/>
    <w:rsid w:val="1CCF3BE3"/>
    <w:rsid w:val="208A3A88"/>
    <w:rsid w:val="23083E9B"/>
    <w:rsid w:val="24A461B0"/>
    <w:rsid w:val="24B11F76"/>
    <w:rsid w:val="28D01900"/>
    <w:rsid w:val="2D2405B1"/>
    <w:rsid w:val="2F2F471E"/>
    <w:rsid w:val="2FA71EA3"/>
    <w:rsid w:val="3010771D"/>
    <w:rsid w:val="35BB04B9"/>
    <w:rsid w:val="35F27965"/>
    <w:rsid w:val="38BA7FD5"/>
    <w:rsid w:val="38E51CA5"/>
    <w:rsid w:val="399C665C"/>
    <w:rsid w:val="3C3C28BE"/>
    <w:rsid w:val="3D117340"/>
    <w:rsid w:val="3D682677"/>
    <w:rsid w:val="415578C3"/>
    <w:rsid w:val="41E0297A"/>
    <w:rsid w:val="4ABF7C56"/>
    <w:rsid w:val="4EE52179"/>
    <w:rsid w:val="4F5410CC"/>
    <w:rsid w:val="51216A06"/>
    <w:rsid w:val="52D6569E"/>
    <w:rsid w:val="54116074"/>
    <w:rsid w:val="57953D60"/>
    <w:rsid w:val="579D7BCE"/>
    <w:rsid w:val="5B3B1E56"/>
    <w:rsid w:val="5C115871"/>
    <w:rsid w:val="5C1F62C3"/>
    <w:rsid w:val="5DAF51E0"/>
    <w:rsid w:val="60C26982"/>
    <w:rsid w:val="61AA73FA"/>
    <w:rsid w:val="63646DEF"/>
    <w:rsid w:val="63F824AD"/>
    <w:rsid w:val="64C7514A"/>
    <w:rsid w:val="6B3A4C6B"/>
    <w:rsid w:val="6BAC56E3"/>
    <w:rsid w:val="6C651E78"/>
    <w:rsid w:val="6F6749FA"/>
    <w:rsid w:val="721B7371"/>
    <w:rsid w:val="754B2AC5"/>
    <w:rsid w:val="7711013C"/>
    <w:rsid w:val="78654D1D"/>
    <w:rsid w:val="78B44D1B"/>
    <w:rsid w:val="78D941C4"/>
    <w:rsid w:val="7A4E492E"/>
    <w:rsid w:val="7A83274C"/>
    <w:rsid w:val="7C222E78"/>
    <w:rsid w:val="7EE134D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5"/>
    <w:qFormat/>
    <w:uiPriority w:val="0"/>
    <w:pPr>
      <w:ind w:firstLine="680"/>
    </w:pPr>
    <w:rPr>
      <w:rFonts w:ascii="仿宋_GB2312" w:hAnsi="创艺简标宋"/>
    </w:r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8">
    <w:name w:val="page number"/>
    <w:basedOn w:val="7"/>
    <w:qFormat/>
    <w:uiPriority w:val="0"/>
  </w:style>
  <w:style w:type="character" w:styleId="9">
    <w:name w:val="FollowedHyperlink"/>
    <w:basedOn w:val="7"/>
    <w:semiHidden/>
    <w:unhideWhenUsed/>
    <w:qFormat/>
    <w:uiPriority w:val="99"/>
    <w:rPr>
      <w:color w:val="800080"/>
      <w:u w:val="none"/>
    </w:rPr>
  </w:style>
  <w:style w:type="character" w:styleId="10">
    <w:name w:val="Hyperlink"/>
    <w:basedOn w:val="7"/>
    <w:semiHidden/>
    <w:unhideWhenUsed/>
    <w:qFormat/>
    <w:uiPriority w:val="99"/>
    <w:rPr>
      <w:color w:val="0000FF"/>
      <w:u w:val="none"/>
    </w:rPr>
  </w:style>
  <w:style w:type="character" w:customStyle="1" w:styleId="11">
    <w:name w:val="批注框文本 Char"/>
    <w:basedOn w:val="7"/>
    <w:link w:val="3"/>
    <w:semiHidden/>
    <w:qFormat/>
    <w:uiPriority w:val="99"/>
    <w:rPr>
      <w:sz w:val="18"/>
      <w:szCs w:val="18"/>
    </w:rPr>
  </w:style>
  <w:style w:type="character" w:customStyle="1" w:styleId="12">
    <w:name w:val="页眉 Char"/>
    <w:basedOn w:val="7"/>
    <w:link w:val="5"/>
    <w:qFormat/>
    <w:uiPriority w:val="99"/>
    <w:rPr>
      <w:kern w:val="2"/>
      <w:sz w:val="18"/>
      <w:szCs w:val="18"/>
    </w:rPr>
  </w:style>
  <w:style w:type="character" w:customStyle="1" w:styleId="13">
    <w:name w:val="页脚 Char"/>
    <w:basedOn w:val="7"/>
    <w:link w:val="4"/>
    <w:qFormat/>
    <w:uiPriority w:val="99"/>
    <w:rPr>
      <w:kern w:val="2"/>
      <w:sz w:val="18"/>
      <w:szCs w:val="18"/>
    </w:rPr>
  </w:style>
  <w:style w:type="character" w:customStyle="1" w:styleId="14">
    <w:name w:val="jspeech2"/>
    <w:basedOn w:val="7"/>
    <w:qFormat/>
    <w:uiPriority w:val="0"/>
  </w:style>
  <w:style w:type="character" w:customStyle="1" w:styleId="15">
    <w:name w:val="正文文本缩进 Char"/>
    <w:basedOn w:val="7"/>
    <w:link w:val="2"/>
    <w:qFormat/>
    <w:uiPriority w:val="0"/>
    <w:rPr>
      <w:rFonts w:ascii="仿宋_GB2312" w:hAnsi="创艺简标宋" w:eastAsia="仿宋_GB2312" w:cs="Times New Roman"/>
      <w:kern w:val="2"/>
      <w:sz w:val="32"/>
    </w:rPr>
  </w:style>
  <w:style w:type="paragraph" w:customStyle="1" w:styleId="16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230</Words>
  <Characters>1314</Characters>
  <Lines>10</Lines>
  <Paragraphs>3</Paragraphs>
  <TotalTime>46</TotalTime>
  <ScaleCrop>false</ScaleCrop>
  <LinksUpToDate>false</LinksUpToDate>
  <CharactersWithSpaces>1541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2019-07-24T08:09:00Z</dcterms:created>
  <dc:creator>崔爱民</dc:creator>
  <cp:lastModifiedBy>WPS_1610498046</cp:lastModifiedBy>
  <cp:lastPrinted>2021-06-22T02:39:57Z</cp:lastPrinted>
  <dcterms:modified xsi:type="dcterms:W3CDTF">2021-06-22T03:02:27Z</dcterms:modified>
  <cp:revision>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8C9E014914694DF0A7072587520347F0</vt:lpwstr>
  </property>
</Properties>
</file>